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CE96EC" w14:textId="04916A51" w:rsidR="007730C6" w:rsidRDefault="00671B77" w:rsidP="005B3077">
      <w:pPr>
        <w:pStyle w:val="berschrift3"/>
        <w:tabs>
          <w:tab w:val="left" w:pos="4151"/>
        </w:tabs>
      </w:pPr>
      <w:r>
        <w:t>Digital Detox</w:t>
      </w:r>
      <w:r w:rsidR="00B51FA0">
        <w:t xml:space="preserve"> </w:t>
      </w:r>
      <w:r w:rsidR="00B51FA0" w:rsidRPr="00B51FA0">
        <w:t>(ca. 90 Minuten)</w:t>
      </w:r>
      <w:r w:rsidR="005B3077">
        <w:tab/>
      </w:r>
    </w:p>
    <w:p w14:paraId="2080BCC5" w14:textId="77777777" w:rsidR="007730C6" w:rsidRDefault="00671B77">
      <w:pPr>
        <w:pStyle w:val="berschrift3"/>
      </w:pPr>
      <w:r>
        <w:t>Lernziele:</w:t>
      </w:r>
    </w:p>
    <w:p w14:paraId="05D68DAA" w14:textId="77777777" w:rsidR="007730C6" w:rsidRDefault="00671B77" w:rsidP="006B27BB">
      <w:pPr>
        <w:pStyle w:val="Default"/>
        <w:numPr>
          <w:ilvl w:val="0"/>
          <w:numId w:val="2"/>
        </w:numPr>
      </w:pPr>
      <w:r>
        <w:t xml:space="preserve">Die </w:t>
      </w:r>
      <w:proofErr w:type="spellStart"/>
      <w:r>
        <w:t>SuS</w:t>
      </w:r>
      <w:proofErr w:type="spellEnd"/>
      <w:r>
        <w:t xml:space="preserve"> können den Begriff „Digital Detox“ </w:t>
      </w:r>
      <w:r w:rsidR="006B27BB">
        <w:t>erklären</w:t>
      </w:r>
      <w:r>
        <w:t xml:space="preserve"> und die Notwendigkeit nachvollziehen.</w:t>
      </w:r>
    </w:p>
    <w:p w14:paraId="130559CC" w14:textId="77777777" w:rsidR="007730C6" w:rsidRDefault="00671B77" w:rsidP="006B27BB">
      <w:pPr>
        <w:pStyle w:val="Default"/>
        <w:numPr>
          <w:ilvl w:val="0"/>
          <w:numId w:val="2"/>
        </w:numPr>
      </w:pPr>
      <w:r>
        <w:t xml:space="preserve">Die </w:t>
      </w:r>
      <w:proofErr w:type="spellStart"/>
      <w:r>
        <w:t>SuS</w:t>
      </w:r>
      <w:proofErr w:type="spellEnd"/>
      <w:r>
        <w:t xml:space="preserve"> </w:t>
      </w:r>
      <w:r w:rsidR="006B27BB">
        <w:t>analysieren</w:t>
      </w:r>
      <w:r>
        <w:t xml:space="preserve"> und </w:t>
      </w:r>
      <w:r w:rsidR="006B27BB">
        <w:t>bewerten</w:t>
      </w:r>
      <w:r>
        <w:t xml:space="preserve"> ihre eigene digitale Nutzung und deren Auswirkungen auf Gesundheit und Wohlbefinden.</w:t>
      </w:r>
    </w:p>
    <w:p w14:paraId="4F52B2F0" w14:textId="77777777" w:rsidR="007730C6" w:rsidRDefault="00671B77" w:rsidP="006B27BB">
      <w:pPr>
        <w:pStyle w:val="Default"/>
        <w:numPr>
          <w:ilvl w:val="0"/>
          <w:numId w:val="2"/>
        </w:numPr>
      </w:pPr>
      <w:r>
        <w:t xml:space="preserve">Die </w:t>
      </w:r>
      <w:proofErr w:type="spellStart"/>
      <w:r>
        <w:t>SuS</w:t>
      </w:r>
      <w:proofErr w:type="spellEnd"/>
      <w:r>
        <w:t xml:space="preserve"> </w:t>
      </w:r>
      <w:r w:rsidR="006B27BB">
        <w:t>entwickeln</w:t>
      </w:r>
      <w:r>
        <w:t xml:space="preserve"> Strategien zur sinnvollen und gesunden Nutzung digitaler Medien.</w:t>
      </w:r>
    </w:p>
    <w:p w14:paraId="32A77422" w14:textId="77777777" w:rsidR="007730C6" w:rsidRDefault="00671B77" w:rsidP="006B27BB">
      <w:pPr>
        <w:pStyle w:val="Default"/>
        <w:numPr>
          <w:ilvl w:val="0"/>
          <w:numId w:val="2"/>
        </w:numPr>
      </w:pPr>
      <w:r>
        <w:t xml:space="preserve">Die </w:t>
      </w:r>
      <w:proofErr w:type="spellStart"/>
      <w:r>
        <w:t>SuS</w:t>
      </w:r>
      <w:proofErr w:type="spellEnd"/>
      <w:r>
        <w:t xml:space="preserve"> </w:t>
      </w:r>
      <w:r w:rsidR="006B27BB">
        <w:t>reflektieren</w:t>
      </w:r>
      <w:r>
        <w:t xml:space="preserve"> die Auswirkungen einer digitalen Pause auf ihren Alltag und Wohlbefinden.</w:t>
      </w:r>
    </w:p>
    <w:p w14:paraId="5D1F191D" w14:textId="77777777" w:rsidR="007730C6" w:rsidRDefault="00671B77" w:rsidP="000E3145">
      <w:pPr>
        <w:pStyle w:val="Default"/>
        <w:numPr>
          <w:ilvl w:val="0"/>
          <w:numId w:val="2"/>
        </w:numPr>
        <w:spacing w:line="276" w:lineRule="auto"/>
        <w:ind w:left="714" w:hanging="357"/>
      </w:pPr>
      <w:r>
        <w:t xml:space="preserve">Die </w:t>
      </w:r>
      <w:proofErr w:type="spellStart"/>
      <w:r>
        <w:t>SuS</w:t>
      </w:r>
      <w:proofErr w:type="spellEnd"/>
      <w:r>
        <w:t xml:space="preserve"> </w:t>
      </w:r>
      <w:r w:rsidR="006B27BB">
        <w:t>diskutieren</w:t>
      </w:r>
      <w:r>
        <w:t xml:space="preserve"> die Vor- und Nachteile der digitalen Abstinenz in der Gruppe.</w:t>
      </w:r>
    </w:p>
    <w:p w14:paraId="0D13426F" w14:textId="77777777" w:rsidR="007730C6" w:rsidRDefault="00671B77">
      <w:pPr>
        <w:pStyle w:val="berschrift3"/>
      </w:pPr>
      <w:r>
        <w:t>Verlauf: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89"/>
        <w:gridCol w:w="837"/>
        <w:gridCol w:w="9487"/>
        <w:gridCol w:w="1535"/>
      </w:tblGrid>
      <w:tr w:rsidR="007730C6" w14:paraId="5982490E" w14:textId="77777777" w:rsidTr="006B27BB">
        <w:tc>
          <w:tcPr>
            <w:tcW w:w="2089" w:type="dxa"/>
          </w:tcPr>
          <w:p w14:paraId="36E84815" w14:textId="77777777" w:rsidR="007730C6" w:rsidRPr="006B27BB" w:rsidRDefault="00671B77">
            <w:pPr>
              <w:pStyle w:val="Default"/>
              <w:rPr>
                <w:b/>
                <w:bCs/>
              </w:rPr>
            </w:pPr>
            <w:r w:rsidRPr="006B27BB">
              <w:rPr>
                <w:b/>
                <w:bCs/>
              </w:rPr>
              <w:t>Phase</w:t>
            </w:r>
          </w:p>
        </w:tc>
        <w:tc>
          <w:tcPr>
            <w:tcW w:w="837" w:type="dxa"/>
          </w:tcPr>
          <w:p w14:paraId="08222A78" w14:textId="77777777" w:rsidR="007730C6" w:rsidRPr="006B27BB" w:rsidRDefault="00671B77">
            <w:pPr>
              <w:pStyle w:val="Default"/>
              <w:rPr>
                <w:b/>
                <w:bCs/>
              </w:rPr>
            </w:pPr>
            <w:r w:rsidRPr="006B27BB">
              <w:rPr>
                <w:b/>
                <w:bCs/>
              </w:rPr>
              <w:t>Zeit</w:t>
            </w:r>
          </w:p>
        </w:tc>
        <w:tc>
          <w:tcPr>
            <w:tcW w:w="9487" w:type="dxa"/>
          </w:tcPr>
          <w:p w14:paraId="21C3F318" w14:textId="77777777" w:rsidR="007730C6" w:rsidRPr="006B27BB" w:rsidRDefault="00671B77">
            <w:pPr>
              <w:pStyle w:val="Default"/>
              <w:rPr>
                <w:b/>
                <w:bCs/>
              </w:rPr>
            </w:pPr>
            <w:r w:rsidRPr="006B27BB">
              <w:rPr>
                <w:b/>
                <w:bCs/>
              </w:rPr>
              <w:t>Inhalt</w:t>
            </w:r>
          </w:p>
        </w:tc>
        <w:tc>
          <w:tcPr>
            <w:tcW w:w="1535" w:type="dxa"/>
          </w:tcPr>
          <w:p w14:paraId="7551ADB7" w14:textId="77777777" w:rsidR="007730C6" w:rsidRPr="006B27BB" w:rsidRDefault="00671B77">
            <w:pPr>
              <w:pStyle w:val="Default"/>
              <w:rPr>
                <w:b/>
                <w:bCs/>
              </w:rPr>
            </w:pPr>
            <w:r w:rsidRPr="006B27BB">
              <w:rPr>
                <w:b/>
                <w:bCs/>
              </w:rPr>
              <w:t>Aktionsform</w:t>
            </w:r>
          </w:p>
        </w:tc>
      </w:tr>
      <w:tr w:rsidR="007730C6" w14:paraId="489B9296" w14:textId="77777777" w:rsidTr="006B27BB">
        <w:tc>
          <w:tcPr>
            <w:tcW w:w="2089" w:type="dxa"/>
          </w:tcPr>
          <w:p w14:paraId="7639766C" w14:textId="77777777" w:rsidR="007730C6" w:rsidRDefault="00671B77" w:rsidP="006B27BB">
            <w:pPr>
              <w:pStyle w:val="Default"/>
              <w:spacing w:line="276" w:lineRule="auto"/>
            </w:pPr>
            <w:r>
              <w:t>Einstieg 1</w:t>
            </w:r>
          </w:p>
        </w:tc>
        <w:tc>
          <w:tcPr>
            <w:tcW w:w="837" w:type="dxa"/>
          </w:tcPr>
          <w:p w14:paraId="1581135C" w14:textId="77777777" w:rsidR="007730C6" w:rsidRDefault="00671B77" w:rsidP="006B27BB">
            <w:pPr>
              <w:pStyle w:val="Default"/>
              <w:spacing w:line="276" w:lineRule="auto"/>
            </w:pPr>
            <w:r>
              <w:t>20 min</w:t>
            </w:r>
          </w:p>
        </w:tc>
        <w:tc>
          <w:tcPr>
            <w:tcW w:w="9487" w:type="dxa"/>
          </w:tcPr>
          <w:p w14:paraId="13D0694C" w14:textId="77777777" w:rsidR="007730C6" w:rsidRDefault="00671B77" w:rsidP="005B3077">
            <w:pPr>
              <w:pStyle w:val="Default"/>
              <w:spacing w:line="276" w:lineRule="auto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positionieren sich in den vier Ecken des Klassenzimmers zu verschieden Aussagen über die Nutzung des Smartphones. Die</w:t>
            </w:r>
            <w:r w:rsidR="005B3077">
              <w:t xml:space="preserve"> Einschätzungen der </w:t>
            </w:r>
            <w:proofErr w:type="spellStart"/>
            <w:r w:rsidR="005B3077">
              <w:t>SuS</w:t>
            </w:r>
            <w:proofErr w:type="spellEnd"/>
            <w:r w:rsidR="005B3077">
              <w:t xml:space="preserve"> werden</w:t>
            </w:r>
            <w:r>
              <w:t xml:space="preserve"> mit der aktuellen JIM-Studie verglichen und besprochen.</w:t>
            </w:r>
          </w:p>
        </w:tc>
        <w:tc>
          <w:tcPr>
            <w:tcW w:w="1535" w:type="dxa"/>
          </w:tcPr>
          <w:p w14:paraId="3D6436EA" w14:textId="77777777" w:rsidR="007730C6" w:rsidRDefault="00671B77" w:rsidP="006B27BB">
            <w:pPr>
              <w:pStyle w:val="Default"/>
              <w:spacing w:line="276" w:lineRule="auto"/>
            </w:pPr>
            <w:r>
              <w:t>Plenum</w:t>
            </w:r>
          </w:p>
        </w:tc>
      </w:tr>
      <w:tr w:rsidR="007730C6" w14:paraId="2E4512BE" w14:textId="77777777" w:rsidTr="006B27BB">
        <w:tc>
          <w:tcPr>
            <w:tcW w:w="2089" w:type="dxa"/>
          </w:tcPr>
          <w:p w14:paraId="13536DB2" w14:textId="77777777" w:rsidR="007730C6" w:rsidRDefault="006B27BB" w:rsidP="006B27BB">
            <w:pPr>
              <w:pStyle w:val="Default"/>
              <w:spacing w:line="276" w:lineRule="auto"/>
            </w:pPr>
            <w:r>
              <w:t>Erarbeitung 1</w:t>
            </w:r>
          </w:p>
        </w:tc>
        <w:tc>
          <w:tcPr>
            <w:tcW w:w="837" w:type="dxa"/>
          </w:tcPr>
          <w:p w14:paraId="02A3FA0B" w14:textId="77777777" w:rsidR="007730C6" w:rsidRDefault="006B27BB" w:rsidP="006B27BB">
            <w:pPr>
              <w:pStyle w:val="Default"/>
              <w:spacing w:line="276" w:lineRule="auto"/>
            </w:pPr>
            <w:r>
              <w:t>10</w:t>
            </w:r>
            <w:r w:rsidR="00671B77">
              <w:t xml:space="preserve"> min</w:t>
            </w:r>
          </w:p>
        </w:tc>
        <w:tc>
          <w:tcPr>
            <w:tcW w:w="9487" w:type="dxa"/>
          </w:tcPr>
          <w:p w14:paraId="67BC2A32" w14:textId="77777777" w:rsidR="007730C6" w:rsidRDefault="00671B77" w:rsidP="006B27BB">
            <w:pPr>
              <w:pStyle w:val="Default"/>
              <w:spacing w:line="276" w:lineRule="auto"/>
            </w:pPr>
            <w:r>
              <w:t>Arbeit in Kleingruppen: Jede Gruppe überlegt sich Tipps, mit denen das digitale Wohlbefinden gesteigert werden kann.</w:t>
            </w:r>
          </w:p>
        </w:tc>
        <w:tc>
          <w:tcPr>
            <w:tcW w:w="1535" w:type="dxa"/>
          </w:tcPr>
          <w:p w14:paraId="38ABB4D5" w14:textId="77777777" w:rsidR="007730C6" w:rsidRDefault="00671B77" w:rsidP="006B27BB">
            <w:pPr>
              <w:pStyle w:val="Default"/>
              <w:spacing w:line="276" w:lineRule="auto"/>
            </w:pPr>
            <w:r>
              <w:t>Gruppenarbeit</w:t>
            </w:r>
          </w:p>
        </w:tc>
      </w:tr>
      <w:tr w:rsidR="007730C6" w14:paraId="61E1D5EA" w14:textId="77777777" w:rsidTr="006B27BB">
        <w:tc>
          <w:tcPr>
            <w:tcW w:w="2089" w:type="dxa"/>
          </w:tcPr>
          <w:p w14:paraId="2AECC1D1" w14:textId="77777777" w:rsidR="007730C6" w:rsidRDefault="00671B77" w:rsidP="006B27BB">
            <w:pPr>
              <w:pStyle w:val="Default"/>
              <w:spacing w:line="276" w:lineRule="auto"/>
            </w:pPr>
            <w:r>
              <w:t>Ergebnissicherung 1</w:t>
            </w:r>
          </w:p>
        </w:tc>
        <w:tc>
          <w:tcPr>
            <w:tcW w:w="837" w:type="dxa"/>
          </w:tcPr>
          <w:p w14:paraId="57D42AA4" w14:textId="77777777" w:rsidR="007730C6" w:rsidRDefault="00671B77" w:rsidP="006B27BB">
            <w:pPr>
              <w:pStyle w:val="Default"/>
              <w:spacing w:line="276" w:lineRule="auto"/>
            </w:pPr>
            <w:r>
              <w:t>10 min</w:t>
            </w:r>
          </w:p>
        </w:tc>
        <w:tc>
          <w:tcPr>
            <w:tcW w:w="9487" w:type="dxa"/>
          </w:tcPr>
          <w:p w14:paraId="0174CCDE" w14:textId="77777777" w:rsidR="007730C6" w:rsidRDefault="00671B77" w:rsidP="006B27BB">
            <w:pPr>
              <w:pStyle w:val="Default"/>
              <w:spacing w:line="276" w:lineRule="auto"/>
            </w:pPr>
            <w:r>
              <w:t xml:space="preserve">Präsentation der Gruppenergebnisse und Sammlung von praktischen Tipps zur Steigerung des digitalen Wohlbefindens. </w:t>
            </w:r>
            <w:proofErr w:type="spellStart"/>
            <w:r>
              <w:t>SuS</w:t>
            </w:r>
            <w:proofErr w:type="spellEnd"/>
            <w:r>
              <w:t xml:space="preserve"> ergänzen ggf. ihre eigenen Vorschläge mit für sie sinnvollen Tipps der anderen Gruppen. Aushängen eines Plakats mit 10 Tipps für das digitale Wohlbefinden</w:t>
            </w:r>
          </w:p>
        </w:tc>
        <w:tc>
          <w:tcPr>
            <w:tcW w:w="1535" w:type="dxa"/>
          </w:tcPr>
          <w:p w14:paraId="78E41AB7" w14:textId="77777777" w:rsidR="007730C6" w:rsidRDefault="00671B77" w:rsidP="006B27BB">
            <w:pPr>
              <w:pStyle w:val="Default"/>
              <w:spacing w:line="276" w:lineRule="auto"/>
            </w:pPr>
            <w:r>
              <w:t>Präsentation/ Plenum</w:t>
            </w:r>
          </w:p>
        </w:tc>
      </w:tr>
      <w:tr w:rsidR="007730C6" w14:paraId="5C28C12B" w14:textId="77777777" w:rsidTr="006B27BB">
        <w:tc>
          <w:tcPr>
            <w:tcW w:w="2089" w:type="dxa"/>
          </w:tcPr>
          <w:p w14:paraId="2FD86BEB" w14:textId="77777777" w:rsidR="007730C6" w:rsidRDefault="006B27BB" w:rsidP="006B27BB">
            <w:pPr>
              <w:pStyle w:val="Default"/>
              <w:spacing w:line="276" w:lineRule="auto"/>
            </w:pPr>
            <w:r>
              <w:t>Erarbeitung 2</w:t>
            </w:r>
          </w:p>
        </w:tc>
        <w:tc>
          <w:tcPr>
            <w:tcW w:w="837" w:type="dxa"/>
          </w:tcPr>
          <w:p w14:paraId="1CB0DE28" w14:textId="77777777" w:rsidR="007730C6" w:rsidRDefault="00671B77" w:rsidP="006B27BB">
            <w:pPr>
              <w:pStyle w:val="Default"/>
              <w:spacing w:line="276" w:lineRule="auto"/>
            </w:pPr>
            <w:r>
              <w:t>20 min</w:t>
            </w:r>
          </w:p>
          <w:p w14:paraId="48475875" w14:textId="77777777" w:rsidR="006B27BB" w:rsidRDefault="006B27BB" w:rsidP="006B27BB">
            <w:pPr>
              <w:pStyle w:val="Default"/>
              <w:spacing w:line="276" w:lineRule="auto"/>
            </w:pPr>
          </w:p>
          <w:p w14:paraId="7419559F" w14:textId="77777777" w:rsidR="006B27BB" w:rsidRDefault="006B27BB" w:rsidP="006B27BB">
            <w:pPr>
              <w:pStyle w:val="Default"/>
              <w:spacing w:line="276" w:lineRule="auto"/>
            </w:pPr>
          </w:p>
          <w:p w14:paraId="0AF69BCB" w14:textId="77777777" w:rsidR="006B27BB" w:rsidRDefault="006B27BB" w:rsidP="006B27BB">
            <w:pPr>
              <w:pStyle w:val="Default"/>
              <w:spacing w:line="276" w:lineRule="auto"/>
            </w:pPr>
          </w:p>
          <w:p w14:paraId="31C364EF" w14:textId="77777777" w:rsidR="006B27BB" w:rsidRDefault="006B27BB" w:rsidP="006B27BB">
            <w:pPr>
              <w:pStyle w:val="Default"/>
              <w:spacing w:line="276" w:lineRule="auto"/>
            </w:pPr>
          </w:p>
          <w:p w14:paraId="3003E26B" w14:textId="77777777" w:rsidR="006B27BB" w:rsidRDefault="006B27BB" w:rsidP="006B27BB">
            <w:pPr>
              <w:pStyle w:val="Default"/>
              <w:spacing w:line="276" w:lineRule="auto"/>
            </w:pPr>
          </w:p>
          <w:p w14:paraId="2011E230" w14:textId="77777777" w:rsidR="006B27BB" w:rsidRDefault="006B27BB" w:rsidP="006B27BB">
            <w:pPr>
              <w:pStyle w:val="Default"/>
              <w:spacing w:line="276" w:lineRule="auto"/>
            </w:pPr>
            <w:r>
              <w:t>20 min</w:t>
            </w:r>
          </w:p>
        </w:tc>
        <w:tc>
          <w:tcPr>
            <w:tcW w:w="9487" w:type="dxa"/>
          </w:tcPr>
          <w:p w14:paraId="691F1191" w14:textId="77777777" w:rsidR="007730C6" w:rsidRDefault="00671B77" w:rsidP="006B27BB">
            <w:pPr>
              <w:pStyle w:val="Default"/>
              <w:spacing w:line="276" w:lineRule="auto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schauen das Video https://www.youtube-nocookie.com/embed/KQjVv6TN9xk?playlist=KQjVv6TN9xk&amp;amp;autoplay=1&amp;amp;iv_load_policy=3&amp;amp;loop=1&amp;amp;start= bis Minute 4:40. Sie beantworten die Fragen und werten ihre Punktezahl aus.</w:t>
            </w:r>
            <w:r w:rsidR="006B27BB">
              <w:t xml:space="preserve"> </w:t>
            </w: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holen ihre Smartphones und beantworten eine Umfrage zu ihrem Ergebn</w:t>
            </w:r>
            <w:r w:rsidR="005B3077">
              <w:t>is sowie zu</w:t>
            </w:r>
            <w:r>
              <w:t xml:space="preserve"> weiteren Fragen zu ihrer Handynutzung.</w:t>
            </w:r>
            <w:r w:rsidR="006B27BB">
              <w:t xml:space="preserve"> </w:t>
            </w:r>
            <w:r>
              <w:t>Die Ergebnisse werden besprochen.</w:t>
            </w:r>
          </w:p>
          <w:p w14:paraId="67F1E87A" w14:textId="77777777" w:rsidR="006B27BB" w:rsidRDefault="006B27BB" w:rsidP="006B27BB">
            <w:pPr>
              <w:pStyle w:val="Default"/>
              <w:spacing w:line="276" w:lineRule="auto"/>
            </w:pPr>
          </w:p>
          <w:p w14:paraId="46707360" w14:textId="77777777" w:rsidR="006B27BB" w:rsidRDefault="006B27BB" w:rsidP="006B27BB">
            <w:pPr>
              <w:pStyle w:val="Default"/>
              <w:spacing w:line="276" w:lineRule="auto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wählen Flyer aus mit Tipps und wichtigen Hinweisen zu von ihnen selbst genutzten </w:t>
            </w:r>
            <w:proofErr w:type="spellStart"/>
            <w:r>
              <w:t>Social</w:t>
            </w:r>
            <w:proofErr w:type="spellEnd"/>
            <w:r>
              <w:t>- Media- Anbietern. Sie nehmen die dort empfohlenen Einstellungen an ihrem eigenen Handy vor.</w:t>
            </w:r>
          </w:p>
        </w:tc>
        <w:tc>
          <w:tcPr>
            <w:tcW w:w="1535" w:type="dxa"/>
          </w:tcPr>
          <w:p w14:paraId="630708A8" w14:textId="77777777" w:rsidR="007730C6" w:rsidRDefault="00671B77" w:rsidP="006B27BB">
            <w:pPr>
              <w:pStyle w:val="Default"/>
              <w:spacing w:line="276" w:lineRule="auto"/>
            </w:pPr>
            <w:r>
              <w:t>Plenum</w:t>
            </w:r>
          </w:p>
          <w:p w14:paraId="1FE40C9E" w14:textId="77777777" w:rsidR="006B27BB" w:rsidRDefault="006B27BB" w:rsidP="006B27BB">
            <w:pPr>
              <w:pStyle w:val="Default"/>
              <w:spacing w:line="276" w:lineRule="auto"/>
            </w:pPr>
          </w:p>
          <w:p w14:paraId="0AC4DF58" w14:textId="77777777" w:rsidR="006B27BB" w:rsidRDefault="006B27BB" w:rsidP="006B27BB">
            <w:pPr>
              <w:pStyle w:val="Default"/>
              <w:spacing w:line="276" w:lineRule="auto"/>
            </w:pPr>
          </w:p>
          <w:p w14:paraId="3DB8F38F" w14:textId="77777777" w:rsidR="006B27BB" w:rsidRDefault="006B27BB" w:rsidP="006B27BB">
            <w:pPr>
              <w:pStyle w:val="Default"/>
              <w:spacing w:line="276" w:lineRule="auto"/>
            </w:pPr>
          </w:p>
          <w:p w14:paraId="7B647E73" w14:textId="77777777" w:rsidR="006B27BB" w:rsidRDefault="006B27BB" w:rsidP="006B27BB">
            <w:pPr>
              <w:pStyle w:val="Default"/>
              <w:spacing w:line="276" w:lineRule="auto"/>
            </w:pPr>
          </w:p>
          <w:p w14:paraId="5954093F" w14:textId="77777777" w:rsidR="006B27BB" w:rsidRDefault="006B27BB" w:rsidP="006B27BB">
            <w:pPr>
              <w:pStyle w:val="Default"/>
              <w:spacing w:line="276" w:lineRule="auto"/>
            </w:pPr>
          </w:p>
          <w:p w14:paraId="07F39F51" w14:textId="77777777" w:rsidR="006B27BB" w:rsidRDefault="006B27BB" w:rsidP="006B27BB">
            <w:pPr>
              <w:pStyle w:val="Default"/>
              <w:spacing w:line="276" w:lineRule="auto"/>
            </w:pPr>
            <w:r>
              <w:t>Einzelarbeit</w:t>
            </w:r>
          </w:p>
          <w:p w14:paraId="28338958" w14:textId="77777777" w:rsidR="006B27BB" w:rsidRDefault="006B27BB" w:rsidP="006B27BB">
            <w:pPr>
              <w:pStyle w:val="Default"/>
              <w:spacing w:line="276" w:lineRule="auto"/>
            </w:pPr>
          </w:p>
        </w:tc>
      </w:tr>
      <w:tr w:rsidR="007730C6" w14:paraId="38A1CE5A" w14:textId="77777777" w:rsidTr="006B27BB">
        <w:tc>
          <w:tcPr>
            <w:tcW w:w="2089" w:type="dxa"/>
          </w:tcPr>
          <w:p w14:paraId="22878469" w14:textId="77777777" w:rsidR="007730C6" w:rsidRDefault="00671B77" w:rsidP="006B27BB">
            <w:pPr>
              <w:pStyle w:val="Default"/>
              <w:spacing w:line="276" w:lineRule="auto"/>
            </w:pPr>
            <w:r>
              <w:t>Ergebnissicherung 2</w:t>
            </w:r>
          </w:p>
        </w:tc>
        <w:tc>
          <w:tcPr>
            <w:tcW w:w="837" w:type="dxa"/>
          </w:tcPr>
          <w:p w14:paraId="43EF784D" w14:textId="77777777" w:rsidR="007730C6" w:rsidRDefault="00671B77" w:rsidP="006B27BB">
            <w:pPr>
              <w:pStyle w:val="Default"/>
              <w:spacing w:line="276" w:lineRule="auto"/>
            </w:pPr>
            <w:r>
              <w:t>10 min</w:t>
            </w:r>
          </w:p>
        </w:tc>
        <w:tc>
          <w:tcPr>
            <w:tcW w:w="9487" w:type="dxa"/>
          </w:tcPr>
          <w:p w14:paraId="54E6F8BD" w14:textId="77777777" w:rsidR="005B3077" w:rsidRDefault="00671B77" w:rsidP="006B27BB">
            <w:pPr>
              <w:pStyle w:val="Default"/>
              <w:spacing w:line="276" w:lineRule="auto"/>
            </w:pPr>
            <w:r>
              <w:t xml:space="preserve">Die Erkenntnisse der </w:t>
            </w:r>
            <w:proofErr w:type="spellStart"/>
            <w:r>
              <w:t>SuS</w:t>
            </w:r>
            <w:proofErr w:type="spellEnd"/>
            <w:r>
              <w:t xml:space="preserve"> aus den Flyern werden besprochen und es werden offene Fragen geklärt.</w:t>
            </w:r>
          </w:p>
          <w:p w14:paraId="3BE1518A" w14:textId="77777777" w:rsidR="007730C6" w:rsidRDefault="00671B77" w:rsidP="006B27BB">
            <w:pPr>
              <w:pStyle w:val="Default"/>
              <w:spacing w:line="276" w:lineRule="auto"/>
            </w:pPr>
            <w:r>
              <w:t xml:space="preserve">Puffer/ Hausaufgabe: Die </w:t>
            </w:r>
            <w:proofErr w:type="spellStart"/>
            <w:r>
              <w:t>SuS</w:t>
            </w:r>
            <w:proofErr w:type="spellEnd"/>
            <w:r>
              <w:t xml:space="preserve"> bearbeiten die Arbeitsblätter mit dem Digital Detox- Kit.</w:t>
            </w:r>
          </w:p>
        </w:tc>
        <w:tc>
          <w:tcPr>
            <w:tcW w:w="1535" w:type="dxa"/>
          </w:tcPr>
          <w:p w14:paraId="4E01DDAB" w14:textId="77777777" w:rsidR="007730C6" w:rsidRDefault="00671B77" w:rsidP="006B27BB">
            <w:pPr>
              <w:pStyle w:val="Default"/>
              <w:spacing w:line="276" w:lineRule="auto"/>
            </w:pPr>
            <w:r>
              <w:t>Plenum</w:t>
            </w:r>
          </w:p>
        </w:tc>
      </w:tr>
    </w:tbl>
    <w:p w14:paraId="32761562" w14:textId="77777777" w:rsidR="007730C6" w:rsidRPr="006B27BB" w:rsidRDefault="007730C6" w:rsidP="000E3145">
      <w:pPr>
        <w:pStyle w:val="berschrift3"/>
        <w:spacing w:before="0" w:after="0"/>
        <w:rPr>
          <w:sz w:val="2"/>
          <w:szCs w:val="2"/>
        </w:rPr>
      </w:pPr>
    </w:p>
    <w:sectPr w:rsidR="007730C6" w:rsidRPr="006B27BB" w:rsidSect="005B3077">
      <w:pgSz w:w="16838" w:h="11906" w:orient="landscape"/>
      <w:pgMar w:top="426" w:right="1440" w:bottom="993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E041A"/>
    <w:multiLevelType w:val="hybridMultilevel"/>
    <w:tmpl w:val="35AEC0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971164"/>
    <w:multiLevelType w:val="hybridMultilevel"/>
    <w:tmpl w:val="AB42B6B4"/>
    <w:lvl w:ilvl="0" w:tplc="BA280CBA">
      <w:start w:val="1"/>
      <w:numFmt w:val="bullet"/>
      <w:lvlText w:val="●"/>
      <w:lvlJc w:val="left"/>
      <w:pPr>
        <w:ind w:left="720" w:hanging="360"/>
      </w:pPr>
    </w:lvl>
    <w:lvl w:ilvl="1" w:tplc="9B42DFC6">
      <w:start w:val="1"/>
      <w:numFmt w:val="bullet"/>
      <w:lvlText w:val="○"/>
      <w:lvlJc w:val="left"/>
      <w:pPr>
        <w:ind w:left="1440" w:hanging="360"/>
      </w:pPr>
    </w:lvl>
    <w:lvl w:ilvl="2" w:tplc="5F5CD428">
      <w:start w:val="1"/>
      <w:numFmt w:val="bullet"/>
      <w:lvlText w:val="■"/>
      <w:lvlJc w:val="left"/>
      <w:pPr>
        <w:ind w:left="2160" w:hanging="360"/>
      </w:pPr>
    </w:lvl>
    <w:lvl w:ilvl="3" w:tplc="86A27288">
      <w:start w:val="1"/>
      <w:numFmt w:val="bullet"/>
      <w:lvlText w:val="●"/>
      <w:lvlJc w:val="left"/>
      <w:pPr>
        <w:ind w:left="2880" w:hanging="360"/>
      </w:pPr>
    </w:lvl>
    <w:lvl w:ilvl="4" w:tplc="6480E416">
      <w:start w:val="1"/>
      <w:numFmt w:val="bullet"/>
      <w:lvlText w:val="○"/>
      <w:lvlJc w:val="left"/>
      <w:pPr>
        <w:ind w:left="3600" w:hanging="360"/>
      </w:pPr>
    </w:lvl>
    <w:lvl w:ilvl="5" w:tplc="9CE689FE">
      <w:start w:val="1"/>
      <w:numFmt w:val="bullet"/>
      <w:lvlText w:val="■"/>
      <w:lvlJc w:val="left"/>
      <w:pPr>
        <w:ind w:left="4320" w:hanging="360"/>
      </w:pPr>
    </w:lvl>
    <w:lvl w:ilvl="6" w:tplc="54ACDF02">
      <w:start w:val="1"/>
      <w:numFmt w:val="bullet"/>
      <w:lvlText w:val="●"/>
      <w:lvlJc w:val="left"/>
      <w:pPr>
        <w:ind w:left="5040" w:hanging="360"/>
      </w:pPr>
    </w:lvl>
    <w:lvl w:ilvl="7" w:tplc="11E28118">
      <w:start w:val="1"/>
      <w:numFmt w:val="bullet"/>
      <w:lvlText w:val="●"/>
      <w:lvlJc w:val="left"/>
      <w:pPr>
        <w:ind w:left="5760" w:hanging="360"/>
      </w:pPr>
    </w:lvl>
    <w:lvl w:ilvl="8" w:tplc="DC5691DC">
      <w:start w:val="1"/>
      <w:numFmt w:val="bullet"/>
      <w:lvlText w:val="●"/>
      <w:lvlJc w:val="left"/>
      <w:pPr>
        <w:ind w:left="6480" w:hanging="360"/>
      </w:pPr>
    </w:lvl>
  </w:abstractNum>
  <w:num w:numId="1" w16cid:durableId="929853625">
    <w:abstractNumId w:val="1"/>
    <w:lvlOverride w:ilvl="0">
      <w:startOverride w:val="1"/>
    </w:lvlOverride>
  </w:num>
  <w:num w:numId="2" w16cid:durableId="1394163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0C6"/>
    <w:rsid w:val="000E3145"/>
    <w:rsid w:val="005B3077"/>
    <w:rsid w:val="00671B77"/>
    <w:rsid w:val="006B27BB"/>
    <w:rsid w:val="007730C6"/>
    <w:rsid w:val="00B51FA0"/>
    <w:rsid w:val="00FE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5D49B"/>
  <w15:docId w15:val="{7C113497-0516-42AB-B6D7-5757B3966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de-DE" w:eastAsia="de-DE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qFormat/>
    <w:pPr>
      <w:spacing w:after="200"/>
      <w:outlineLvl w:val="0"/>
    </w:pPr>
    <w:rPr>
      <w:b/>
      <w:bCs/>
      <w:sz w:val="32"/>
      <w:szCs w:val="32"/>
    </w:rPr>
  </w:style>
  <w:style w:type="paragraph" w:styleId="berschrift2">
    <w:name w:val="heading 2"/>
    <w:qFormat/>
    <w:pPr>
      <w:spacing w:after="200"/>
      <w:outlineLvl w:val="1"/>
    </w:pPr>
    <w:rPr>
      <w:b/>
      <w:bCs/>
      <w:sz w:val="26"/>
      <w:szCs w:val="26"/>
    </w:rPr>
  </w:style>
  <w:style w:type="paragraph" w:styleId="berschrift3">
    <w:name w:val="heading 3"/>
    <w:qFormat/>
    <w:pPr>
      <w:spacing w:before="240" w:after="200"/>
      <w:outlineLvl w:val="2"/>
    </w:pPr>
    <w:rPr>
      <w:b/>
      <w:bCs/>
      <w:sz w:val="24"/>
      <w:szCs w:val="24"/>
    </w:rPr>
  </w:style>
  <w:style w:type="paragraph" w:styleId="berschrift4">
    <w:name w:val="heading 4"/>
    <w:qFormat/>
    <w:pPr>
      <w:outlineLvl w:val="3"/>
    </w:pPr>
    <w:rPr>
      <w:i/>
      <w:iCs/>
      <w:color w:val="2E74B5"/>
    </w:rPr>
  </w:style>
  <w:style w:type="paragraph" w:styleId="berschrift5">
    <w:name w:val="heading 5"/>
    <w:qFormat/>
    <w:pPr>
      <w:outlineLvl w:val="4"/>
    </w:pPr>
    <w:rPr>
      <w:color w:val="2E74B5"/>
    </w:rPr>
  </w:style>
  <w:style w:type="paragraph" w:styleId="berschrift6">
    <w:name w:val="heading 6"/>
    <w:qFormat/>
    <w:pPr>
      <w:spacing w:after="120"/>
      <w:outlineLvl w:val="5"/>
    </w:pPr>
    <w:rPr>
      <w:b/>
      <w:bCs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qFormat/>
    <w:rPr>
      <w:sz w:val="56"/>
      <w:szCs w:val="56"/>
    </w:rPr>
  </w:style>
  <w:style w:type="paragraph" w:customStyle="1" w:styleId="Fett1">
    <w:name w:val="Fett1"/>
    <w:qFormat/>
    <w:rPr>
      <w:b/>
      <w:bCs/>
    </w:rPr>
  </w:style>
  <w:style w:type="paragraph" w:styleId="Listenabsatz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unotenzeichen">
    <w:name w:val="footnote reference"/>
    <w:uiPriority w:val="99"/>
    <w:semiHidden/>
    <w:unhideWhenUsed/>
    <w:rPr>
      <w:vertAlign w:val="superscript"/>
    </w:rPr>
  </w:style>
  <w:style w:type="paragraph" w:styleId="Funotentext">
    <w:name w:val="footnote text"/>
    <w:link w:val="FunotentextZchn"/>
    <w:uiPriority w:val="99"/>
    <w:semiHidden/>
    <w:unhideWhenUsed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unhideWhenUsed/>
    <w:rPr>
      <w:sz w:val="20"/>
      <w:szCs w:val="20"/>
    </w:rPr>
  </w:style>
  <w:style w:type="paragraph" w:customStyle="1" w:styleId="Default">
    <w:name w:val="Default"/>
    <w:pPr>
      <w:spacing w:line="360" w:lineRule="auto"/>
    </w:pPr>
  </w:style>
  <w:style w:type="paragraph" w:customStyle="1" w:styleId="Small">
    <w:name w:val="Small"/>
    <w:pPr>
      <w:spacing w:line="360" w:lineRule="auto"/>
    </w:pPr>
    <w:rPr>
      <w:sz w:val="18"/>
      <w:szCs w:val="18"/>
    </w:rPr>
  </w:style>
  <w:style w:type="paragraph" w:customStyle="1" w:styleId="Fett2">
    <w:name w:val="Fett2"/>
    <w:pPr>
      <w:spacing w:line="360" w:lineRule="exact"/>
    </w:pPr>
    <w:rPr>
      <w:b/>
      <w:bCs/>
    </w:rPr>
  </w:style>
  <w:style w:type="paragraph" w:customStyle="1" w:styleId="Label">
    <w:name w:val="Label"/>
    <w:pPr>
      <w:spacing w:line="240" w:lineRule="exact"/>
    </w:pPr>
    <w:rPr>
      <w:b/>
      <w:bCs/>
      <w:color w:val="64748B"/>
    </w:rPr>
  </w:style>
  <w:style w:type="paragraph" w:customStyle="1" w:styleId="Narrow">
    <w:name w:val="Narrow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LHM-RBS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Belinda Rosenbusch</cp:lastModifiedBy>
  <cp:revision>2</cp:revision>
  <dcterms:created xsi:type="dcterms:W3CDTF">2025-06-21T16:08:00Z</dcterms:created>
  <dcterms:modified xsi:type="dcterms:W3CDTF">2025-06-21T16:08:00Z</dcterms:modified>
</cp:coreProperties>
</file>